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7B" w:rsidRPr="006B057B" w:rsidRDefault="006B057B" w:rsidP="006B057B">
      <w:pPr>
        <w:pStyle w:val="Ttulo2"/>
        <w:rPr>
          <w:rFonts w:ascii="Arial" w:hAnsi="Arial" w:cs="Arial"/>
          <w:color w:val="auto"/>
          <w:szCs w:val="22"/>
        </w:rPr>
      </w:pPr>
      <w:r w:rsidRPr="006B057B">
        <w:rPr>
          <w:rFonts w:ascii="Arial" w:hAnsi="Arial" w:cs="Arial"/>
          <w:color w:val="auto"/>
          <w:szCs w:val="22"/>
        </w:rPr>
        <w:t>EG.2.-</w:t>
      </w:r>
      <w:r w:rsidRPr="006B057B">
        <w:rPr>
          <w:rFonts w:ascii="Arial" w:hAnsi="Arial" w:cs="Arial"/>
          <w:color w:val="auto"/>
          <w:szCs w:val="22"/>
        </w:rPr>
        <w:tab/>
        <w:t>LETREROS INFORMATIVOS DE LA OBRA.</w:t>
      </w:r>
    </w:p>
    <w:p w:rsidR="006B057B" w:rsidRPr="006B057B" w:rsidRDefault="006B057B" w:rsidP="006B057B">
      <w:pPr>
        <w:pStyle w:val="Ttulo2"/>
        <w:rPr>
          <w:rFonts w:ascii="Arial" w:hAnsi="Arial" w:cs="Arial"/>
          <w:color w:val="auto"/>
          <w:szCs w:val="22"/>
        </w:rPr>
      </w:pPr>
      <w:r w:rsidRPr="006B057B">
        <w:rPr>
          <w:rFonts w:ascii="Arial" w:hAnsi="Arial" w:cs="Arial"/>
          <w:color w:val="auto"/>
          <w:szCs w:val="22"/>
        </w:rPr>
        <w:t>EJECUCIÓN</w:t>
      </w:r>
    </w:p>
    <w:p w:rsidR="006B057B" w:rsidRPr="006B057B" w:rsidRDefault="006B057B" w:rsidP="006B057B">
      <w:pPr>
        <w:tabs>
          <w:tab w:val="left" w:pos="567"/>
          <w:tab w:val="left" w:pos="851"/>
          <w:tab w:val="left" w:pos="1134"/>
          <w:tab w:val="left" w:pos="1701"/>
          <w:tab w:val="left" w:pos="5670"/>
        </w:tabs>
        <w:spacing w:before="240" w:after="240"/>
        <w:jc w:val="both"/>
        <w:rPr>
          <w:rFonts w:ascii="Arial" w:hAnsi="Arial" w:cs="Arial"/>
          <w:sz w:val="22"/>
          <w:szCs w:val="22"/>
          <w:lang w:eastAsia="en-US"/>
        </w:rPr>
      </w:pPr>
      <w:r w:rsidRPr="006B057B">
        <w:rPr>
          <w:rFonts w:ascii="Arial" w:hAnsi="Arial" w:cs="Arial"/>
          <w:sz w:val="22"/>
          <w:szCs w:val="22"/>
          <w:lang w:eastAsia="en-US"/>
        </w:rPr>
        <w:t>El Contratista queda obligado a colocar en cada uno de los 1</w:t>
      </w:r>
      <w:r w:rsidR="00AA04C5">
        <w:rPr>
          <w:rFonts w:ascii="Arial" w:hAnsi="Arial" w:cs="Arial"/>
          <w:sz w:val="22"/>
          <w:szCs w:val="22"/>
          <w:lang w:eastAsia="en-US"/>
        </w:rPr>
        <w:t>4</w:t>
      </w:r>
      <w:bookmarkStart w:id="0" w:name="_GoBack"/>
      <w:bookmarkEnd w:id="0"/>
      <w:r w:rsidRPr="006B057B">
        <w:rPr>
          <w:rFonts w:ascii="Arial" w:hAnsi="Arial" w:cs="Arial"/>
          <w:sz w:val="22"/>
          <w:szCs w:val="22"/>
          <w:lang w:eastAsia="en-US"/>
        </w:rPr>
        <w:t xml:space="preserve"> lugares que se le indiquen, una señal diagramática de doscientos cuarenta y cuatro (244) centímetros por cuatrocientos ochenta y ocho (488) centímetros con la leyenda que oportunamente se le proporcione.</w:t>
      </w:r>
    </w:p>
    <w:p w:rsidR="006B057B" w:rsidRPr="006B057B" w:rsidRDefault="006B057B" w:rsidP="006B057B">
      <w:pPr>
        <w:tabs>
          <w:tab w:val="left" w:pos="567"/>
          <w:tab w:val="left" w:pos="851"/>
          <w:tab w:val="left" w:pos="1134"/>
          <w:tab w:val="left" w:pos="1701"/>
          <w:tab w:val="left" w:pos="5670"/>
        </w:tabs>
        <w:spacing w:before="240" w:after="240"/>
        <w:jc w:val="both"/>
        <w:rPr>
          <w:rFonts w:ascii="Arial" w:hAnsi="Arial" w:cs="Arial"/>
          <w:sz w:val="22"/>
          <w:szCs w:val="22"/>
          <w:lang w:eastAsia="en-US"/>
        </w:rPr>
      </w:pPr>
      <w:r w:rsidRPr="006B057B">
        <w:rPr>
          <w:rFonts w:ascii="Arial" w:hAnsi="Arial" w:cs="Arial"/>
          <w:sz w:val="22"/>
          <w:szCs w:val="22"/>
          <w:lang w:eastAsia="en-US"/>
        </w:rPr>
        <w:t>Cada letrero se formará con las características y dimensiones indicadas en los siguientes esquemas:</w:t>
      </w:r>
    </w:p>
    <w:p w:rsidR="006B057B" w:rsidRPr="003307E2" w:rsidRDefault="006B057B" w:rsidP="006B057B">
      <w:pPr>
        <w:jc w:val="both"/>
        <w:rPr>
          <w:rFonts w:ascii="Arial" w:hAnsi="Arial"/>
          <w:b/>
          <w:sz w:val="22"/>
          <w:szCs w:val="22"/>
        </w:rPr>
      </w:pPr>
    </w:p>
    <w:p w:rsidR="006B057B" w:rsidRPr="003307E2" w:rsidRDefault="006B057B" w:rsidP="006B057B">
      <w:pPr>
        <w:jc w:val="both"/>
        <w:rPr>
          <w:rFonts w:ascii="Arial" w:hAnsi="Arial"/>
          <w:b/>
          <w:sz w:val="22"/>
          <w:szCs w:val="22"/>
        </w:rPr>
      </w:pPr>
      <w:r>
        <w:rPr>
          <w:rFonts w:ascii="Arial" w:hAnsi="Arial"/>
          <w:b/>
          <w:noProof/>
          <w:sz w:val="22"/>
          <w:szCs w:val="22"/>
          <w:lang w:val="es-MX" w:eastAsia="es-MX"/>
        </w:rPr>
        <w:drawing>
          <wp:inline distT="0" distB="0" distL="0" distR="0">
            <wp:extent cx="5899662" cy="4221126"/>
            <wp:effectExtent l="0" t="0" r="635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1503" cy="4222444"/>
                    </a:xfrm>
                    <a:prstGeom prst="rect">
                      <a:avLst/>
                    </a:prstGeom>
                    <a:noFill/>
                  </pic:spPr>
                </pic:pic>
              </a:graphicData>
            </a:graphic>
          </wp:inline>
        </w:drawing>
      </w:r>
    </w:p>
    <w:p w:rsidR="006B057B" w:rsidRPr="003307E2" w:rsidRDefault="006B057B" w:rsidP="006B057B">
      <w:pPr>
        <w:jc w:val="both"/>
        <w:rPr>
          <w:rFonts w:ascii="Arial" w:hAnsi="Arial"/>
          <w:b/>
          <w:sz w:val="22"/>
          <w:szCs w:val="22"/>
        </w:rPr>
      </w:pPr>
    </w:p>
    <w:p w:rsidR="006B057B" w:rsidRPr="006B057B" w:rsidRDefault="006B057B" w:rsidP="006B057B">
      <w:pPr>
        <w:keepNext/>
        <w:keepLines/>
        <w:tabs>
          <w:tab w:val="left" w:pos="851"/>
        </w:tabs>
        <w:spacing w:before="360" w:after="240"/>
        <w:jc w:val="both"/>
        <w:outlineLvl w:val="1"/>
        <w:rPr>
          <w:rFonts w:ascii="Arial" w:eastAsia="Calibri" w:hAnsi="Arial" w:cs="Arial"/>
          <w:b/>
          <w:bCs/>
          <w:caps/>
          <w:sz w:val="22"/>
          <w:szCs w:val="22"/>
          <w:lang w:eastAsia="en-US"/>
        </w:rPr>
      </w:pPr>
      <w:r w:rsidRPr="006B057B">
        <w:rPr>
          <w:rFonts w:ascii="Arial" w:eastAsia="Calibri" w:hAnsi="Arial" w:cs="Arial"/>
          <w:b/>
          <w:bCs/>
          <w:caps/>
          <w:sz w:val="22"/>
          <w:szCs w:val="22"/>
          <w:lang w:eastAsia="en-US"/>
        </w:rPr>
        <w:t>Base de pago</w:t>
      </w:r>
    </w:p>
    <w:p w:rsidR="0083254B" w:rsidRDefault="006B057B" w:rsidP="006B057B">
      <w:r w:rsidRPr="006B057B">
        <w:rPr>
          <w:rFonts w:ascii="Arial" w:hAnsi="Arial" w:cs="Arial"/>
          <w:sz w:val="22"/>
          <w:szCs w:val="22"/>
          <w:lang w:eastAsia="en-US"/>
        </w:rPr>
        <w:t>La presente especificación es de uso general en toda la obra y deberá ser considerada por el contratista en sus costos generales, por lo que este apartado no deberá incluirse en el catálogo de conceptos ni será causal de pagos extraordinarios, aquí se deberán incluir los costos asociados a los materiales, equipo y mano de obra necesaria para dar cumplimiento a lo descrito en el presente documento, a la normativa vigente y a lo solicitado por la dependencia en materia de protección a la obra.</w:t>
      </w:r>
    </w:p>
    <w:sectPr w:rsidR="0083254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57B"/>
    <w:rsid w:val="003F4283"/>
    <w:rsid w:val="00500EDC"/>
    <w:rsid w:val="006B057B"/>
    <w:rsid w:val="00AA04C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7B"/>
    <w:pPr>
      <w:spacing w:after="0" w:line="240" w:lineRule="auto"/>
    </w:pPr>
    <w:rPr>
      <w:rFonts w:ascii="Times New Roman" w:eastAsia="Times New Roman" w:hAnsi="Times New Roman" w:cs="Times New Roman"/>
      <w:sz w:val="20"/>
      <w:szCs w:val="20"/>
      <w:lang w:val="es-ES" w:eastAsia="es-ES"/>
    </w:rPr>
  </w:style>
  <w:style w:type="paragraph" w:styleId="Ttulo2">
    <w:name w:val="heading 2"/>
    <w:basedOn w:val="Normal"/>
    <w:next w:val="Normal"/>
    <w:link w:val="Ttulo2Car"/>
    <w:qFormat/>
    <w:rsid w:val="006B057B"/>
    <w:pPr>
      <w:keepNext/>
      <w:keepLines/>
      <w:tabs>
        <w:tab w:val="left" w:pos="851"/>
      </w:tabs>
      <w:spacing w:before="360" w:after="240"/>
      <w:jc w:val="both"/>
      <w:outlineLvl w:val="1"/>
    </w:pPr>
    <w:rPr>
      <w:rFonts w:ascii="Trebuchet MS" w:eastAsia="Calibri" w:hAnsi="Trebuchet MS"/>
      <w:b/>
      <w:bCs/>
      <w:caps/>
      <w:color w:val="646D71"/>
      <w:sz w:val="22"/>
      <w:szCs w:val="26"/>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6B057B"/>
    <w:pPr>
      <w:jc w:val="both"/>
    </w:pPr>
    <w:rPr>
      <w:rFonts w:ascii="Arial" w:hAnsi="Arial"/>
      <w:b/>
      <w:color w:val="000000"/>
      <w:sz w:val="24"/>
      <w:lang w:val="es-ES_tradnl"/>
    </w:rPr>
  </w:style>
  <w:style w:type="character" w:customStyle="1" w:styleId="TextoindependienteCar">
    <w:name w:val="Texto independiente Car"/>
    <w:basedOn w:val="Fuentedeprrafopredeter"/>
    <w:link w:val="Textoindependiente"/>
    <w:rsid w:val="006B057B"/>
    <w:rPr>
      <w:rFonts w:ascii="Arial" w:eastAsia="Times New Roman" w:hAnsi="Arial" w:cs="Times New Roman"/>
      <w:b/>
      <w:color w:val="000000"/>
      <w:sz w:val="24"/>
      <w:szCs w:val="20"/>
      <w:lang w:val="es-ES_tradnl" w:eastAsia="es-ES"/>
    </w:rPr>
  </w:style>
  <w:style w:type="paragraph" w:styleId="Textodeglobo">
    <w:name w:val="Balloon Text"/>
    <w:basedOn w:val="Normal"/>
    <w:link w:val="TextodegloboCar"/>
    <w:uiPriority w:val="99"/>
    <w:semiHidden/>
    <w:unhideWhenUsed/>
    <w:rsid w:val="006B057B"/>
    <w:rPr>
      <w:rFonts w:ascii="Tahoma" w:hAnsi="Tahoma" w:cs="Tahoma"/>
      <w:sz w:val="16"/>
      <w:szCs w:val="16"/>
    </w:rPr>
  </w:style>
  <w:style w:type="character" w:customStyle="1" w:styleId="TextodegloboCar">
    <w:name w:val="Texto de globo Car"/>
    <w:basedOn w:val="Fuentedeprrafopredeter"/>
    <w:link w:val="Textodeglobo"/>
    <w:uiPriority w:val="99"/>
    <w:semiHidden/>
    <w:rsid w:val="006B057B"/>
    <w:rPr>
      <w:rFonts w:ascii="Tahoma" w:eastAsia="Times New Roman" w:hAnsi="Tahoma" w:cs="Tahoma"/>
      <w:sz w:val="16"/>
      <w:szCs w:val="16"/>
      <w:lang w:val="es-ES" w:eastAsia="es-ES"/>
    </w:rPr>
  </w:style>
  <w:style w:type="character" w:customStyle="1" w:styleId="Ttulo2Car">
    <w:name w:val="Título 2 Car"/>
    <w:basedOn w:val="Fuentedeprrafopredeter"/>
    <w:link w:val="Ttulo2"/>
    <w:rsid w:val="006B057B"/>
    <w:rPr>
      <w:rFonts w:ascii="Trebuchet MS" w:eastAsia="Calibri" w:hAnsi="Trebuchet MS" w:cs="Times New Roman"/>
      <w:b/>
      <w:bCs/>
      <w:caps/>
      <w:color w:val="646D71"/>
      <w:szCs w:val="2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7B"/>
    <w:pPr>
      <w:spacing w:after="0" w:line="240" w:lineRule="auto"/>
    </w:pPr>
    <w:rPr>
      <w:rFonts w:ascii="Times New Roman" w:eastAsia="Times New Roman" w:hAnsi="Times New Roman" w:cs="Times New Roman"/>
      <w:sz w:val="20"/>
      <w:szCs w:val="20"/>
      <w:lang w:val="es-ES" w:eastAsia="es-ES"/>
    </w:rPr>
  </w:style>
  <w:style w:type="paragraph" w:styleId="Ttulo2">
    <w:name w:val="heading 2"/>
    <w:basedOn w:val="Normal"/>
    <w:next w:val="Normal"/>
    <w:link w:val="Ttulo2Car"/>
    <w:qFormat/>
    <w:rsid w:val="006B057B"/>
    <w:pPr>
      <w:keepNext/>
      <w:keepLines/>
      <w:tabs>
        <w:tab w:val="left" w:pos="851"/>
      </w:tabs>
      <w:spacing w:before="360" w:after="240"/>
      <w:jc w:val="both"/>
      <w:outlineLvl w:val="1"/>
    </w:pPr>
    <w:rPr>
      <w:rFonts w:ascii="Trebuchet MS" w:eastAsia="Calibri" w:hAnsi="Trebuchet MS"/>
      <w:b/>
      <w:bCs/>
      <w:caps/>
      <w:color w:val="646D71"/>
      <w:sz w:val="22"/>
      <w:szCs w:val="26"/>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6B057B"/>
    <w:pPr>
      <w:jc w:val="both"/>
    </w:pPr>
    <w:rPr>
      <w:rFonts w:ascii="Arial" w:hAnsi="Arial"/>
      <w:b/>
      <w:color w:val="000000"/>
      <w:sz w:val="24"/>
      <w:lang w:val="es-ES_tradnl"/>
    </w:rPr>
  </w:style>
  <w:style w:type="character" w:customStyle="1" w:styleId="TextoindependienteCar">
    <w:name w:val="Texto independiente Car"/>
    <w:basedOn w:val="Fuentedeprrafopredeter"/>
    <w:link w:val="Textoindependiente"/>
    <w:rsid w:val="006B057B"/>
    <w:rPr>
      <w:rFonts w:ascii="Arial" w:eastAsia="Times New Roman" w:hAnsi="Arial" w:cs="Times New Roman"/>
      <w:b/>
      <w:color w:val="000000"/>
      <w:sz w:val="24"/>
      <w:szCs w:val="20"/>
      <w:lang w:val="es-ES_tradnl" w:eastAsia="es-ES"/>
    </w:rPr>
  </w:style>
  <w:style w:type="paragraph" w:styleId="Textodeglobo">
    <w:name w:val="Balloon Text"/>
    <w:basedOn w:val="Normal"/>
    <w:link w:val="TextodegloboCar"/>
    <w:uiPriority w:val="99"/>
    <w:semiHidden/>
    <w:unhideWhenUsed/>
    <w:rsid w:val="006B057B"/>
    <w:rPr>
      <w:rFonts w:ascii="Tahoma" w:hAnsi="Tahoma" w:cs="Tahoma"/>
      <w:sz w:val="16"/>
      <w:szCs w:val="16"/>
    </w:rPr>
  </w:style>
  <w:style w:type="character" w:customStyle="1" w:styleId="TextodegloboCar">
    <w:name w:val="Texto de globo Car"/>
    <w:basedOn w:val="Fuentedeprrafopredeter"/>
    <w:link w:val="Textodeglobo"/>
    <w:uiPriority w:val="99"/>
    <w:semiHidden/>
    <w:rsid w:val="006B057B"/>
    <w:rPr>
      <w:rFonts w:ascii="Tahoma" w:eastAsia="Times New Roman" w:hAnsi="Tahoma" w:cs="Tahoma"/>
      <w:sz w:val="16"/>
      <w:szCs w:val="16"/>
      <w:lang w:val="es-ES" w:eastAsia="es-ES"/>
    </w:rPr>
  </w:style>
  <w:style w:type="character" w:customStyle="1" w:styleId="Ttulo2Car">
    <w:name w:val="Título 2 Car"/>
    <w:basedOn w:val="Fuentedeprrafopredeter"/>
    <w:link w:val="Ttulo2"/>
    <w:rsid w:val="006B057B"/>
    <w:rPr>
      <w:rFonts w:ascii="Trebuchet MS" w:eastAsia="Calibri" w:hAnsi="Trebuchet MS" w:cs="Times New Roman"/>
      <w:b/>
      <w:bCs/>
      <w:caps/>
      <w:color w:val="646D71"/>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143</Words>
  <Characters>788</Characters>
  <Application>Microsoft Office Word</Application>
  <DocSecurity>0</DocSecurity>
  <Lines>6</Lines>
  <Paragraphs>1</Paragraphs>
  <ScaleCrop>false</ScaleCrop>
  <Company>SENER, Ingeniería y Sistemas</Company>
  <LinksUpToDate>false</LinksUpToDate>
  <CharactersWithSpaces>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Gonzalez Flores, Mario Eduardo</dc:creator>
  <cp:lastModifiedBy>Gonzalez Flores, Mario Eduardo</cp:lastModifiedBy>
  <cp:revision>2</cp:revision>
  <dcterms:created xsi:type="dcterms:W3CDTF">2014-04-10T14:19:00Z</dcterms:created>
  <dcterms:modified xsi:type="dcterms:W3CDTF">2014-04-10T22:50:00Z</dcterms:modified>
</cp:coreProperties>
</file>